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врачебная практика (семейная медицина)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04:26 МСК · База обновлена: 23.07.2026, 21:28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55 лет обратилась к врачу общий практики.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 боли в паху, ягодицах, постоянные (выраженность боли по визуальной аналоговой шкале 4 балла), постепенно начинающиеся, беспокоящие в течение последнего месяца практически каждый день, усиливающиеся при ходьбе, уменьшающиеся в покое, сопровождающиеся утренней скованностью около 10 минут, "стартовые" боли, боли в латеральных отделах верхней трети бедра,</w:t>
      </w:r>
    </w:p>
    <w:p>
      <w:pPr>
        <w:spacing w:after="58"/>
      </w:pPr>
      <w:r>
        <w:rPr>
          <w:b w:val="0"/>
          <w:i w:val="0"/>
        </w:rPr>
        <w:t>* невозможность лежать на боку из-за усиления болей,</w:t>
      </w:r>
    </w:p>
    <w:p>
      <w:pPr>
        <w:spacing w:after="58"/>
      </w:pPr>
      <w:r>
        <w:rPr>
          <w:b w:val="0"/>
          <w:i w:val="0"/>
        </w:rPr>
        <w:t>* ограничение движений в тазобедренных суставах.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около 10 лет, когда впервые появилисьболи в паху. Сначала боли возникали только после значительной физической нагрузки, затем приобрели постоянный характер, появилось ограничение в движении в тазобедренных суставах. За медицинской помощью с данными симптомами ранее не обращалась, по совету сестры принимала парацетамол без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 кладовщицей на заводе.</w:t>
      </w:r>
    </w:p>
    <w:p>
      <w:pPr>
        <w:spacing w:after="58"/>
      </w:pPr>
      <w:r>
        <w:rPr>
          <w:b w:val="0"/>
          <w:i w:val="0"/>
        </w:rPr>
        <w:t>* Семейный анамнез: у материи сестры двусторонний коксартроз.</w:t>
      </w:r>
    </w:p>
    <w:p>
      <w:pPr>
        <w:spacing w:after="58"/>
      </w:pPr>
      <w:r>
        <w:rPr>
          <w:b w:val="0"/>
          <w:i w:val="0"/>
        </w:rPr>
        <w:t>* Аллергических реакций не было.</w:t>
      </w:r>
    </w:p>
    <w:p>
      <w:pPr>
        <w:spacing w:after="58"/>
      </w:pPr>
      <w:r>
        <w:rPr>
          <w:b w:val="0"/>
          <w:i w:val="0"/>
        </w:rPr>
        <w:t>* Из хронических заболеваний: гипертоническая болезнь 2 стадии, ГЛЖ. Риск 3 (высокий), принимает амлодипин, отмечает частые эпизоды повышения артериального давления до 160/90 мм рт.ст.</w:t>
      </w:r>
    </w:p>
    <w:p>
      <w:pPr>
        <w:spacing w:after="58"/>
      </w:pPr>
      <w:r>
        <w:rPr>
          <w:b w:val="0"/>
          <w:i w:val="0"/>
        </w:rPr>
        <w:t>* Наличие туберкулеза, хронических инфекций, сахарного диабета отрицает.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Сознание ясное.</w:t>
      </w:r>
    </w:p>
    <w:p>
      <w:pPr>
        <w:spacing w:after="58"/>
      </w:pPr>
      <w:r>
        <w:rPr>
          <w:b w:val="0"/>
          <w:i w:val="0"/>
        </w:rPr>
        <w:t>Гиперстенического телосложения. Рост 176, вес 90 кг (ИМТ 29,12кг/м2).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В легких дыхание везикулярное, хрипов нет. ЧДД 16 движений в минуту. Аускультативно тоны сердца ясные, сердцебиения ритмичные. АД 148/84 мм рт.ст. ЧСС 75 уд/мин. Патологических шумов нет. Границы относительной сердечной тупости не изменены.</w:t>
      </w:r>
    </w:p>
    <w:p>
      <w:pPr>
        <w:spacing w:after="58"/>
      </w:pPr>
      <w:r>
        <w:rPr>
          <w:b w:val="0"/>
          <w:i w:val="0"/>
        </w:rPr>
        <w:t>Живот мягкий, безболезненный, печень и селезенка не пальпируются.</w:t>
      </w:r>
    </w:p>
    <w:p>
      <w:pPr>
        <w:spacing w:after="58"/>
      </w:pPr>
      <w:r>
        <w:rPr>
          <w:b w:val="0"/>
          <w:i w:val="0"/>
        </w:rPr>
        <w:t>Почки не пальпируются. Мочеиспускание свободное, безболезненное. Стул не изменен.</w:t>
      </w:r>
    </w:p>
    <w:p>
      <w:pPr>
        <w:spacing w:after="58"/>
      </w:pPr>
      <w:r>
        <w:rPr>
          <w:b w:val="0"/>
          <w:i w:val="0"/>
        </w:rPr>
        <w:t>Костно-мышечная система: ограничение и болезненность при внутренней ротации тазобедренных суставов в согнутом положении, увеличение суставов в объеме, наличие крепитации, болезненность при пальпации паховой области, латеральнее места пульсации бедренной артерии.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оценки воспаления необходимо исследовать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С-реактивный белок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сывороточный уровень С3-фракции комплемента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сывороточный уровень антител к нативной ДНК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уровень мочевой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уровень свободных легких цепей иммуноглобулинов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С-реактивный белок; 4 — СОЭ</w:t>
      </w:r>
    </w:p>
    <w:p>
      <w:pPr>
        <w:ind w:left="504"/>
      </w:pPr>
      <w:r>
        <w:rPr>
          <w:b w:val="0"/>
          <w:i/>
        </w:rPr>
        <w:t>Для выявления воспаления необходимо исследовать СОЭ и С-реактивный протеин. Умеренное повышение характерно для вторичного синовита на фоне ОА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выявления воспаления необходимо исследовать СОЭ и С-реактивный протеин. Умеренное повышение характерно для вторичного синовита на фоне ОА.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постановки диагноза и определения стадии пациентке следует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тазобедренных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поясничного отдела позвоночника в положении стоя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сцинтиграфию суставов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костей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рентгенологическое исследование костей таза</w:t>
      </w:r>
    </w:p>
    <w:p>
      <w:pPr>
        <w:ind w:left="504"/>
      </w:pPr>
      <w:r>
        <w:rPr>
          <w:b w:val="0"/>
          <w:i/>
        </w:rPr>
        <w:t>Рентгенологическое исследование — наиболее достоверный метод диагностики ОА, который выявляет сужение суставной щели, краевые остеофиты и заострение мыщелков большеберцовой кости, субхондральный склероз.</w:t>
        <w:br/>
        <w:br/>
        <w:t>При подозрении на ОА тазобедренного сустава необходимо проводить рентгенологическое исследование костей таза с захватом обоих тазобедренных суставов (уровень С).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Остеоартроз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Ревматическая полимиалгия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Остеохондропатия головки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Туберкулезный коксит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Остеоартроз</w:t>
      </w:r>
    </w:p>
    <w:p>
      <w:pPr>
        <w:ind w:left="504"/>
      </w:pPr>
      <w:r>
        <w:rPr>
          <w:b w:val="0"/>
          <w:i/>
        </w:rPr>
        <w:t>a| Признаки a| Оценка</w:t>
        <w:br/>
        <w:br/>
        <w:t xml:space="preserve"> a| Комбинация клинических и рентгенологических критериев a| 1 + 2 других критерия из 3 (2,3,4)</w:t>
        <w:br/>
        <w:br/>
        <w:t xml:space="preserve"> a|  * Боль в тазобедренном суставе  a| Чувствительность – 89%</w:t>
        <w:br/>
        <w:br/>
        <w:t xml:space="preserve"> a|  * Остеофиты в области бедренной головки и/или вертлужной впадине a| Специфичность – 91%</w:t>
        <w:br/>
        <w:br/>
        <w:t xml:space="preserve"> a|  * СОЭ ≤ 20мм/ч (по Вестегрену)  a|</w:t>
        <w:br/>
        <w:br/>
        <w:t xml:space="preserve"> a| * Сужение суставной щели a|</w:t>
        <w:br/>
        <w:br/>
        <w:t>{nbsp}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Данные рентгенологического исследования (субхондральный склероз вертлужной впадины; множественные остеофиты по верхнему и нижнему краю вертлужной впадины;умеренное сужение суставной щели) соответствуют +_____+ стадии остеоартроза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III</w:t>
      </w:r>
    </w:p>
    <w:p>
      <w:pPr>
        <w:ind w:left="504"/>
      </w:pPr>
      <w:r>
        <w:rPr>
          <w:b w:val="0"/>
          <w:i/>
        </w:rPr>
        <w:t>Классификация рентгенологических изменений при остеоартрите Келлгрена и Лоуренса (1957)</w:t>
        <w:br/>
        <w:br/>
        <w:t>0 Изменения отсутствуют</w:t>
        <w:br/>
        <w:br/>
        <w:t>I Сомнительные рентгенологические признаки</w:t>
        <w:br/>
        <w:br/>
        <w:t>II Минимальные изменения (небольшое сужение суставной щели, единичные остеофиты)</w:t>
        <w:br/>
        <w:br/>
        <w:t>III Умеренные проявления (умеренное сужение суставной щели, множественные остеофиты)</w:t>
        <w:br/>
        <w:br/>
        <w:t>IV Выраженные изменения (суставная щель почти не прослеживается, выявляются грубые остеофиты)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Пациентка имеет ИМТ 29,12 кг/м2, что соответствует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ожирению 2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ожирению 1 степени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избыточной массе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нормальному весу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избыточной массе тела</w:t>
      </w:r>
    </w:p>
    <w:p>
      <w:pPr>
        <w:ind w:left="504"/>
      </w:pPr>
      <w:r>
        <w:rPr>
          <w:b w:val="0"/>
          <w:i/>
        </w:rPr>
        <w:t>Избыточный вес 25-29,9 кг/м2</w:t>
        <w:br/>
        <w:br/>
      </w:r>
      <w:hyperlink r:id="rId27">
        <w:r>
          <w:rPr>
            <w:color w:val="173C49"/>
            <w:u w:val="single"/>
          </w:rPr>
          <w:t>Клинические рекомендации Минздрава России. Ожирение,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Из нефармакологических методов пациентке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снизить вес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принимать горизонтальное положение после приема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отказаться от курения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ограничить употребление соли менее 1 грамма в 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снизить вес</w:t>
      </w:r>
    </w:p>
    <w:p>
      <w:pPr>
        <w:ind w:left="504"/>
      </w:pPr>
      <w:r>
        <w:rPr>
          <w:b w:val="0"/>
          <w:i/>
        </w:rPr>
        <w:t>Больным с ОА рекомендовано оптимизировать рацион питания. Пациентам с избыточным весом (ИМТ более 25 кг/м2) рекомендовано снижение массы тела не менее чем на 5% за 6 месяцев или 10% за год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снижения веса пациентке следует рекомендовать достигнуть дефицита калорий в размере около +_____+ ккал от физиологической потребности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100-200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800-1000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250-350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500-700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500-700</w:t>
      </w:r>
    </w:p>
    <w:p>
      <w:pPr>
        <w:ind w:left="504"/>
      </w:pPr>
      <w:r>
        <w:rPr>
          <w:b w:val="0"/>
          <w:i/>
        </w:rPr>
        <w:t>Для снижения массы тела рекомендуется гипокалорийная диета (дефицит 500-700 ккал от физиологической потребности с учетом массы тела, возраста и пола), сбалансированная по пищевым ингредиентам.</w:t>
        <w:br/>
        <w:br/>
      </w:r>
      <w:hyperlink r:id="rId27">
        <w:r>
          <w:rPr>
            <w:color w:val="173C49"/>
            <w:u w:val="single"/>
          </w:rPr>
          <w:t>Клинические рекомендации Минздрава России. Ожирение,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купирования болей пациентке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трамадол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хондроитин сульфат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стронция ранелат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нестероидные противовоспалительные препараты</w:t>
      </w:r>
    </w:p>
    <w:p>
      <w:pPr>
        <w:ind w:left="504"/>
      </w:pPr>
      <w:r>
        <w:rPr>
          <w:b w:val="0"/>
          <w:i/>
        </w:rPr>
        <w:t>НПВП применяют в случае неэффективности парацетамола.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Препаратом выбора из группы нестероидных противовоспалительных препаратов у данной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напроксен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диклофенак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нимесулид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ксифокам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напроксен</w:t>
      </w:r>
    </w:p>
    <w:p>
      <w:pPr>
        <w:ind w:left="504"/>
      </w:pPr>
      <w:r>
        <w:rPr>
          <w:b w:val="0"/>
          <w:i/>
        </w:rPr>
        <w:t>Пациентка имеет высокий ССС риск вследствие некомпенсированной артериальной гипертензии. Наиболее безопасным НПВП в отношении риска кардиоваскулярных катастроф является напроксен.</w:t>
        <w:br/>
        <w:br/>
        <w:t>При умеренном ССС – риске следует использовать с-НПВП в комбинации с низкими дозами аспирина или н-НПВП (напроксен, ацеклофенак, кетопрофен, ибупрофен); при высоком риске – напроксен или целекокосиб в сочетании с низкими дозами аспирина</w:t>
        <w:br/>
        <w:br/>
        <w:t>Рекомендации по применению нестероидных противовоспалительных препаратов (НПВП) при ревматических заболеваниях, 2016</w:t>
        <w:br/>
        <w:br/>
      </w:r>
      <w:hyperlink r:id="rId32">
        <w:r>
          <w:rPr>
            <w:color w:val="173C49"/>
            <w:u w:val="single"/>
          </w:rPr>
          <w:t>Рекомендации по применению нестероидных противовоспалительных препаратов (НПВП) при ревматических заболеваниях. Ассоциация ревматологов России. 2016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Пациентка на приеме через месяц, продолжает прием НПВП, ей следует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СМАД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стресс-ЭКГ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СМАД</w:t>
      </w:r>
    </w:p>
    <w:p>
      <w:pPr>
        <w:ind w:left="504"/>
      </w:pPr>
      <w:r>
        <w:rPr>
          <w:b w:val="0"/>
          <w:i/>
        </w:rPr>
        <w:t>ЭГДС и СМАД следует провести через 1-3 месяца после начала приема НПВП всем больным, имеющим ЖКТ и ССС факторы риска.</w:t>
        <w:br/>
        <w:br/>
        <w:t>Рекомендации по применению нестероидных противовоспалительных препаратов (НПВП) при ревматических заболеваниях, 2016</w:t>
        <w:br/>
        <w:br/>
      </w:r>
      <w:hyperlink r:id="rId32">
        <w:r>
          <w:rPr>
            <w:color w:val="173C49"/>
            <w:u w:val="single"/>
          </w:rPr>
          <w:t>Рекомендации по применению нестероидных противовоспалительных препаратов (НПВП) при ревматических заболеваниях. Ассоциация ревматологов России. 2016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симптоматическим лекарственным средствам медленного действия при остеоартрите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алендронат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диклофенак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преднизолон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хондроитин-сульфат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хондроитин-сульфат</w:t>
      </w:r>
    </w:p>
    <w:p>
      <w:pPr>
        <w:ind w:left="504"/>
      </w:pPr>
      <w:r>
        <w:rPr>
          <w:b w:val="0"/>
          <w:i/>
        </w:rPr>
        <w:t>Назначение препаратов, содержащие хондроитин сульфат и глюкозамин сульфат или их комбинацию, рекомендовано для уменьшения боли, улучшения функции суставов.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Остеоартроз, 2016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У всех лиц, отвечающих антропометрическим критериям диагностики избыточного веса или ожирения, необходимо оценивать суммарный сердечно-сосудистый риск по шкале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SCORE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GRACE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FRAX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CMDS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SCORE</w:t>
      </w:r>
    </w:p>
    <w:p>
      <w:pPr>
        <w:ind w:left="504"/>
      </w:pPr>
      <w:r>
        <w:rPr>
          <w:b w:val="0"/>
          <w:i/>
        </w:rPr>
        <w:t>У всех лиц, отвечающих антропометрическим критериям диагностики избыточного веса или ожирения, необходимо оценивать суммарный сердечно-сосудистый риск по шкале SCORE.</w:t>
        <w:br/>
        <w:br/>
        <w:t>Диагностика, лечение, профилактика ожирения и ассоциированных с ним заболеваний (национальные клинические рекомендации), 2017</w:t>
        <w:br/>
        <w:br/>
      </w:r>
      <w:hyperlink r:id="rId36">
        <w:r>
          <w:rPr>
            <w:color w:val="173C49"/>
            <w:u w:val="single"/>
          </w:rPr>
          <w:t>Диагностика, лечение, профилактика ожирения и ассоциированных с ним заболеваний (национальные клинические рекомендации). Россииское кардиологическое общество. 2017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18 лет обратилась к врачу-терапевту участковому.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•</w:t>
        <w:tab/>
        <w:t>ежедневные приступы затруднённого дыхания до 1-2 раз в сутки, чувство заложенности в грудной клетке, преимущественно, в ночные и ранние утренние часы,</w:t>
        <w:br/>
        <w:t>•</w:t>
        <w:tab/>
        <w:t>приступообразный малопродуктивный кашель,</w:t>
        <w:br/>
        <w:t>•</w:t>
        <w:tab/>
        <w:t>затруднение носового дыхания со слизистыми выделениями.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•</w:t>
        <w:tab/>
        <w:t>С детского возраста отмечает появление заложенности носа с умеренными слизистыми выделениями в период цветения деревьев (апрель-май).</w:t>
        <w:br/>
        <w:t>•</w:t>
        <w:tab/>
        <w:t>В 17 лет впервые развился приступ затруднённого дыхания после контакта   с кошкой. Симптомы регрессировали самостоятельно, к врачу не обращалась.</w:t>
        <w:br/>
        <w:t>•</w:t>
        <w:tab/>
        <w:t>В течение предшествующих 3 недель на фоне цветения деревьев появились симптомы ринита, принимала антигистаминные препараты (дезлоратадин 1 таблетка в день).</w:t>
        <w:br/>
        <w:t>•</w:t>
        <w:tab/>
        <w:t>10 дней назад стали регистрироваться приступы затруднённого дыхания до 1-2 раз в сутки, преимущественно в ночные и ранние утренние часы, непродуктивный кашель.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Росла и развивалась нормально.</w:t>
        <w:br/>
        <w:t>•</w:t>
        <w:tab/>
        <w:t>Является студенткой техникума.</w:t>
        <w:br/>
        <w:t>•</w:t>
        <w:tab/>
        <w:t>Перенесённые заболевания: детские инфекции.</w:t>
        <w:br/>
        <w:t>•</w:t>
        <w:tab/>
        <w:t>Наследственность не отягощена.</w:t>
        <w:br/>
        <w:t>•</w:t>
        <w:tab/>
        <w:t>Пищевая аллергия (цитрусовые – явления крапивницы).</w:t>
        <w:br/>
        <w:t>•</w:t>
        <w:tab/>
        <w:t>Вредные привычки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степени тяжести, температура тела – 36,5°C. Нормостенического телосложения, периферические лимфоузлы не увеличены, отёков нет. Кожные покровы обычной окраски. Носовое дыхание затруднено. При перкуссии грудной клетки лёгочный звук, при аускультации – дыхание жёсткое, над всей поверхностью лёгких выслушиваются рассеянные сухие дискантовые хрипы, ЧДД – 18 в минуту. Тоны сердца ритмичные, пульс – 82 в минуту, АД – 110/70 мм рт.ст. Живот при пальпации мягкий,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Выберите необходимые для постановки диагноза лабораторные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бактериологическое исследование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специфический иммуноглобулин E к эпителию кошки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мокроты на микобактерию туберкулеза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клинический анализ крови; 3 — специфический иммуноглобулин E к эпителию кошки в сыворотке крови</w:t>
      </w:r>
    </w:p>
    <w:p>
      <w:pPr>
        <w:ind w:left="504"/>
      </w:pPr>
      <w:r>
        <w:rPr>
          <w:b w:val="0"/>
          <w:i/>
        </w:rPr>
        <w:t>Для постановки диагноза необходимо исследование клинического анализа крови для выявления эозинофилии.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постановки диагноза необходимо определение специфического иммуноглобулина E к эпителию кошки в сыворотке крови для оценки аллергологического статуса.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Выберите необходимые для постановки диагноза инструментальные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пульсоксиметрия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плевральных полостей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спирометрия с тестом обратимости бронхиальной обструкции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бронхоскопия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пульсоксиметрия; 4 — спирометрия с тестом обратимости бронхиальной обструкции</w:t>
      </w:r>
    </w:p>
    <w:p>
      <w:pPr>
        <w:ind w:left="504"/>
      </w:pPr>
      <w:r>
        <w:rPr>
          <w:b w:val="0"/>
          <w:i/>
        </w:rPr>
        <w:t>Для постановки диагноза  необходимо проведение пульсоксиметрии для выявления гипоксемии.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постановки диагноза необходимо проведение спирометрии с тестом обратимости бронхиальной обструкции для выявления вариабельного ограничения скорости воздушного потока на выдохе (наличия, степени тяжести и обратимости бронхиальной обструкции).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данной клинической ситуации основным диагнозом является +___________________________________+. Сенсибилизация к пыльцевым (деревья), эпидермальным (шерсть кошки), пищевым (цитрусовые)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обструктивная болезнь лёгких, умеренная степень тяжести (GOLD 2), группа B (mMRC 2, редкие обострения)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бронхит, обострение. Аллергический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Аллергическая бронхиальная астма, лёгкое течение. Круглогодичный аллергический ринит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Аллергическая бронхиальная  астма, среднетяжелое течение. Сезонный аллергический ринит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Аллергическая бронхиальная  астма, среднетяжелое течение. Сезонный аллергический ринит</w:t>
      </w:r>
    </w:p>
    <w:p>
      <w:pPr>
        <w:ind w:left="504"/>
      </w:pPr>
      <w:r>
        <w:rPr>
          <w:b w:val="0"/>
          <w:i/>
        </w:rPr>
        <w:t>Критериями диагноза аллергической бронхиальной астмы являются:</w:t>
        <w:br/>
        <w:br/>
        <w:t>*</w:t>
        <w:tab/>
        <w:t>приступы затруднённого дыхания и кашель;</w:t>
        <w:br/>
        <w:t>*</w:t>
        <w:tab/>
        <w:t>ухудшение симптомов ночью и рано утром;</w:t>
        <w:br/>
        <w:t>*</w:t>
        <w:tab/>
        <w:t>возникновение симптомов при контакте с кошкой;</w:t>
        <w:br/>
        <w:t>*</w:t>
        <w:tab/>
        <w:t>наличие атопических заболеваний в анамнезе (сезонный аллергический ринит);</w:t>
        <w:br/>
        <w:t>*</w:t>
        <w:tab/>
        <w:t>распространенные сухие свистящие хрипы при аускультации грудной клетки;</w:t>
        <w:br/>
        <w:t>*</w:t>
        <w:tab/>
        <w:t>снижение объёма форсированного выдоха за 1 секунду, обратимый характер бронхиальной обструкции (прирост ОФВ1 18% по данным спирометрии при проведении бронходилятационного теста);</w:t>
        <w:br/>
        <w:t>*</w:t>
        <w:tab/>
        <w:t>эозинофилия периферической крови и мокроты.</w:t>
        <w:br/>
        <w:br/>
        <w:t>Клинические рекомендации Российского респираторного общества «Бронхиальная астма» 2018. Раздел 2, п.2.1.</w:t>
        <w:br/>
        <w:br/>
        <w:t>Среднетяжёлое течение заболевания обусловлено наличием ежедневных симптомов и ночных приступов затруднённого дыхания более 1 раза в неделю.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поддерживающей терапии заболевания необходимо назначить комбинацию длительнодействующих бета2-агонистов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низких доз ингаляционных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высоких доз ингаляционных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ритуксимаба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омализумаба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низких доз ингаляционных глюкокортикостероидов</w:t>
      </w:r>
    </w:p>
    <w:p>
      <w:pPr>
        <w:ind w:left="504"/>
      </w:pPr>
      <w:r>
        <w:rPr>
          <w:b w:val="0"/>
          <w:i/>
        </w:rPr>
        <w:t>Для поддерживающей терапии заболевания в соответствии с установленной средней степенью тяжести бронхиальной астмы необходимо назначить комбинацию низких доз ингаляционных глюкокортикостероидов и длительнодействующих бета2-агонистов.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Мониторирование пиковой скорости выдоха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дня в неделю в утренние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ежедневно однократно в вечерние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ежедневно однократно в утренние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 2 раза в 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ежедневно 2 раза в сутки</w:t>
      </w:r>
    </w:p>
    <w:p>
      <w:pPr>
        <w:ind w:left="504"/>
      </w:pPr>
      <w:r>
        <w:rPr>
          <w:b w:val="0"/>
          <w:i/>
        </w:rPr>
        <w:t>Мониторирование пиковой скорости выдоха проводится ежедневно 2 раза в сутки.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Уменьшение объёма поддерживающей терапии при достижении контроля симптомов заболевания  после начала терапии может быть проведено через (в месяцах)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ind w:left="504"/>
      </w:pPr>
      <w:r>
        <w:rPr>
          <w:b w:val="0"/>
          <w:i/>
        </w:rPr>
        <w:t>Уменьшение объёма поддерживающей терапии при достижении контроля симптомов заболевания после начала терапии может быть проведено через 3 месяца.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устранения симптомов в режиме «по требованию»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муколитик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кромон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 лейкотриеновых рецепторов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коротко действующий бета2-агонист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коротко действующий бета2-агонист</w:t>
      </w:r>
    </w:p>
    <w:p>
      <w:pPr>
        <w:ind w:left="504"/>
      </w:pPr>
      <w:r>
        <w:rPr>
          <w:b w:val="0"/>
          <w:i/>
        </w:rPr>
        <w:t>Препаратом для устранения симптомов в режиме «по требованию» следует назначить коротко действующий бета2-агонист.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Пациентке показано проведение вакцинации против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пневмококковой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дифтерии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гриппа</w:t>
      </w:r>
    </w:p>
    <w:p>
      <w:pPr>
        <w:ind w:left="504"/>
      </w:pPr>
      <w:r>
        <w:rPr>
          <w:b w:val="0"/>
          <w:i/>
        </w:rPr>
        <w:t>Пациентам с среднетяжелой и тяжёлой бронхиальной астмой целесообразно проводить ежегодную противогриппозную вакцинацию для снижения риска тяжёлых обострений.</w:t>
        <w:br/>
        <w:br/>
      </w:r>
      <w:hyperlink r:id="rId38">
        <w:r>
          <w:rPr>
            <w:color w:val="173C49"/>
            <w:u w:val="single"/>
          </w:rPr>
          <w:t>Клинические рекомендации Минздрава России. Бронхиальная астма,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Пациентка относится к \______ группе состояния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IIIа</w:t>
      </w:r>
    </w:p>
    <w:p>
      <w:pPr>
        <w:ind w:left="504"/>
      </w:pPr>
      <w:r>
        <w:rPr>
          <w:b w:val="0"/>
          <w:i/>
        </w:rPr>
        <w:t>Пациентка относится к IIIа группе состояния здоровья, как имеющая хроническое неинфекционное заболевание, требующее установления диспансерного наблюдения.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Минимальная периодичность диспансерных приемов (консультаций пульмонолога) пациента с бронхиальной астмой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каждый квартал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 раз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1-3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каждые два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1-3 раза в год</w:t>
      </w:r>
    </w:p>
    <w:p>
      <w:pPr>
        <w:ind w:left="504"/>
      </w:pPr>
      <w:r>
        <w:rPr>
          <w:b w:val="0"/>
          <w:i/>
        </w:rPr>
        <w:t>Минимальная периодичность диспансерных приемов (Прием, осмотр и  консультация врача-пульмонолога, врача-аллерголога (по медицинским показаниям))  пациента с бронхиальной астмой составляет  1-3 раза в год. Пункт 22 в таблице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рамках проведения диспансерного наблюдения пациента с бронхиальной астмой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ФBД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бодиплетизмографию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рентгенографию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ФBД</w:t>
      </w:r>
    </w:p>
    <w:p>
      <w:pPr>
        <w:ind w:left="504"/>
      </w:pPr>
      <w:r>
        <w:rPr>
          <w:b w:val="0"/>
          <w:i/>
        </w:rPr>
        <w:t>В рамках проведения диспансерного наблюдения пациента с бронхиальной астмой необходимо контролировать  ФBД. Пункт 22 в таблице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Диспансеризация пациентов с бронхиальной астмой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пожизненная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первые 4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первые 5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первые 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пожизненная</w:t>
      </w:r>
    </w:p>
    <w:p>
      <w:pPr>
        <w:ind w:left="504"/>
      </w:pPr>
      <w:r>
        <w:rPr>
          <w:b w:val="0"/>
          <w:i/>
        </w:rPr>
        <w:t>Диспансеризация пациентов с бронхиальной астмой  пожизненная Пункт 22 в таблице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врачебная практика (семейная медицина)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Osteoartroz/" TargetMode="External"/><Relationship Id="rId22" Type="http://schemas.openxmlformats.org/officeDocument/2006/relationships/hyperlink" Target="https://library.mededtech.ru/rest/documents/Osteoartroz/#list_item_5ijevq" TargetMode="External"/><Relationship Id="rId23" Type="http://schemas.openxmlformats.org/officeDocument/2006/relationships/hyperlink" Target="https://library.mededtech.ru/rest/documents/Osteoartroz/#paragraph_ocq1sr" TargetMode="External"/><Relationship Id="rId24" Type="http://schemas.openxmlformats.org/officeDocument/2006/relationships/hyperlink" Target="https://library.mededtech.ru/rest/documents/Osteoartroz/#table_g0okom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Osteoartroz/#paragraph_j1644d" TargetMode="External"/><Relationship Id="rId27" Type="http://schemas.openxmlformats.org/officeDocument/2006/relationships/hyperlink" Target="https://library.mededtech.ru/rest/documents/28_3/" TargetMode="External"/><Relationship Id="rId28" Type="http://schemas.openxmlformats.org/officeDocument/2006/relationships/hyperlink" Target="https://library.mededtech.ru/rest/documents/28_3/#table_881u77" TargetMode="External"/><Relationship Id="rId29" Type="http://schemas.openxmlformats.org/officeDocument/2006/relationships/hyperlink" Target="https://library.mededtech.ru/rest/documents/Osteoartroz/#list_item_7vvt14" TargetMode="External"/><Relationship Id="rId30" Type="http://schemas.openxmlformats.org/officeDocument/2006/relationships/hyperlink" Target="https://library.mededtech.ru/rest/documents/28_3/#list_item_92fgvg" TargetMode="External"/><Relationship Id="rId31" Type="http://schemas.openxmlformats.org/officeDocument/2006/relationships/hyperlink" Target="https://library.mededtech.ru/rest/documents/Osteoartroz/#list_item_au9336" TargetMode="External"/><Relationship Id="rId32" Type="http://schemas.openxmlformats.org/officeDocument/2006/relationships/hyperlink" Target="https://library.mededtech.ru/rest/documents/rekomenlaciinpvpkarateevx_21/" TargetMode="External"/><Relationship Id="rId33" Type="http://schemas.openxmlformats.org/officeDocument/2006/relationships/hyperlink" Target="https://library.mededtech.ru/rest/documents/rekomenlaciinpvpkarateevx_21/#list_item_ti7re7" TargetMode="External"/><Relationship Id="rId34" Type="http://schemas.openxmlformats.org/officeDocument/2006/relationships/hyperlink" Target="https://library.mededtech.ru/rest/documents/rekomenlaciinpvpkarateevx_21/#list_item_885bsf" TargetMode="External"/><Relationship Id="rId35" Type="http://schemas.openxmlformats.org/officeDocument/2006/relationships/hyperlink" Target="https://library.mededtech.ru/rest/documents/Osteoartroz/#list_item_2037el" TargetMode="External"/><Relationship Id="rId36" Type="http://schemas.openxmlformats.org/officeDocument/2006/relationships/hyperlink" Target="https://library.mededtech.ru/rest/documents/Ozhirenie_klin_rek_proekt/" TargetMode="External"/><Relationship Id="rId37" Type="http://schemas.openxmlformats.org/officeDocument/2006/relationships/hyperlink" Target="https://library.mededtech.ru/rest/documents/Ozhirenie_klin_rek_proekt/#paragraph_kq138" TargetMode="External"/><Relationship Id="rId38" Type="http://schemas.openxmlformats.org/officeDocument/2006/relationships/hyperlink" Target="https://library.mededtech.ru/rest/documents/KP359_24/" TargetMode="External"/><Relationship Id="rId39" Type="http://schemas.openxmlformats.org/officeDocument/2006/relationships/hyperlink" Target="https://library.mededtech.ru/rest/documents/KP359_24/#list_item_p35eqf" TargetMode="External"/><Relationship Id="rId40" Type="http://schemas.openxmlformats.org/officeDocument/2006/relationships/hyperlink" Target="https://library.mededtech.ru/rest/documents/KP359_24/#paragraph_r2raul" TargetMode="External"/><Relationship Id="rId41" Type="http://schemas.openxmlformats.org/officeDocument/2006/relationships/image" Target="media/image7.png"/><Relationship Id="rId42" Type="http://schemas.openxmlformats.org/officeDocument/2006/relationships/hyperlink" Target="https://library.mededtech.ru/rest/documents/KP359_24/#list_item_ngibf2" TargetMode="External"/><Relationship Id="rId43" Type="http://schemas.openxmlformats.org/officeDocument/2006/relationships/hyperlink" Target="https://library.mededtech.ru/rest/documents/KP359_24/#list_item_p40kl5" TargetMode="External"/><Relationship Id="rId44" Type="http://schemas.openxmlformats.org/officeDocument/2006/relationships/hyperlink" Target="https://library.mededtech.ru/rest/documents/KP359_24/#paragraph_90us2i" TargetMode="External"/><Relationship Id="rId45" Type="http://schemas.openxmlformats.org/officeDocument/2006/relationships/hyperlink" Target="https://library.mededtech.ru/rest/documents/KP359_24/#table2" TargetMode="External"/><Relationship Id="rId46" Type="http://schemas.openxmlformats.org/officeDocument/2006/relationships/hyperlink" Target="https://library.mededtech.ru/rest/documents/KP359_24/#pic1" TargetMode="External"/><Relationship Id="rId47" Type="http://schemas.openxmlformats.org/officeDocument/2006/relationships/hyperlink" Target="https://library.mededtech.ru/rest/documents/KP359_24/#paragraph_3jah11" TargetMode="External"/><Relationship Id="rId48" Type="http://schemas.openxmlformats.org/officeDocument/2006/relationships/hyperlink" Target="https://library.mededtech.ru/rest/documents/KP359_24/#paragraph_63ts3o" TargetMode="External"/><Relationship Id="rId49" Type="http://schemas.openxmlformats.org/officeDocument/2006/relationships/hyperlink" Target="https://library.mededtech.ru/rest/documents/KP359_24/#list_item_vdlmb9" TargetMode="External"/><Relationship Id="rId50" Type="http://schemas.openxmlformats.org/officeDocument/2006/relationships/hyperlink" Target="https://library.mededtech.ru/rest/documents/ISBN9785970455203/?anchor=paragraph_e07cjn#paragraph_e07cjn" TargetMode="External"/><Relationship Id="rId51" Type="http://schemas.openxmlformats.org/officeDocument/2006/relationships/hyperlink" Target="https://library.mededtech.ru/rest/documents/ISBN9785970455203/?anchor=table_86rmle#table_86rm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